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ценах (тарифах) на товары (работы, услуги),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тарифов;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Ссылка : Постановление в папке «Тарифы»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7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6"/>
        <w:gridCol w:w="1701"/>
        <w:gridCol w:w="1417"/>
        <w:gridCol w:w="284"/>
        <w:gridCol w:w="1134"/>
        <w:gridCol w:w="1559"/>
        <w:gridCol w:w="1276"/>
        <w:gridCol w:w="1437"/>
      </w:tblGrid>
      <w:tr>
        <w:trPr>
          <w:trHeight w:val="322" w:hRule="atLeast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  регулируемой организации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ООО «Тейковское сетевое предприятие»</w:t>
            </w:r>
          </w:p>
        </w:tc>
      </w:tr>
      <w:tr>
        <w:trPr/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  органа   регулирования,   принявшего решение об  утверждении  на услуги по передаче электрической энергии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Департамент энергетики и тарифов Ивановской области</w:t>
            </w:r>
          </w:p>
        </w:tc>
      </w:tr>
      <w:tr>
        <w:trPr/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Реквизиты  (дата,  номер)  решения  об  утверждении тарифа на услуги по передаче электрической энергии и источник официального опубликования решения регулирующего органа об установлении тарифов</w:t>
            </w:r>
          </w:p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Постановление № 128-э/2 от 30.12.2016г «Об индивидуальных тарифах на услуги по передаче электрической энергии для взаиморасчетов между сетевыми организациями Ивановской области» , опубликовано в «Ивановской газете» №5(6004) от 20.01.2017г. и № 9(6008) от 03.02.2017г.</w:t>
            </w:r>
          </w:p>
        </w:tc>
      </w:tr>
      <w:tr>
        <w:trPr/>
        <w:tc>
          <w:tcPr>
            <w:tcW w:w="10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ind w:left="0" w:right="0" w:firstLine="540"/>
              <w:jc w:val="righ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Индивидуальные тарифы на услуги по передаче электрической энергии на 2017 год</w:t>
            </w:r>
          </w:p>
          <w:p>
            <w:pPr>
              <w:pStyle w:val="Normal"/>
              <w:widowControl w:val="false"/>
              <w:autoSpaceDE w:val="false"/>
              <w:spacing w:before="0" w:after="0"/>
              <w:ind w:left="0" w:right="0" w:firstLine="54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(без учета НДС)</w:t>
            </w:r>
          </w:p>
        </w:tc>
      </w:tr>
      <w:tr>
        <w:trPr>
          <w:trHeight w:val="394" w:hRule="atLeast"/>
          <w:cantSplit w:val="true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Наименование</w:t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сетевых</w:t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организаций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 полугодие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 полугодие</w:t>
            </w:r>
          </w:p>
        </w:tc>
      </w:tr>
      <w:tr>
        <w:trPr>
          <w:trHeight w:val="325" w:hRule="atLeast"/>
          <w:cantSplit w:val="true"/>
        </w:trPr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Двухставочный тариф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Одноставочный тариф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Двухставочный тариф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Одноставочный тариф</w:t>
            </w:r>
          </w:p>
        </w:tc>
      </w:tr>
      <w:tr>
        <w:trPr>
          <w:cantSplit w:val="true"/>
        </w:trPr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руб/МВт</w:t>
            </w:r>
            <w:r>
              <w:rPr>
                <w:rFonts w:eastAsia="Symbol" w:cs="Symbol" w:ascii="Symbol" w:hAnsi="Symbol"/>
                <w:b/>
                <w:sz w:val="20"/>
                <w:szCs w:val="20"/>
              </w:rPr>
              <w:t></w:t>
            </w: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мес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/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руб/МВт</w:t>
            </w:r>
            <w:r>
              <w:rPr>
                <w:rFonts w:eastAsia="Symbol" w:cs="Symbol" w:ascii="Symbol" w:hAnsi="Symbol"/>
                <w:b/>
                <w:sz w:val="20"/>
                <w:szCs w:val="20"/>
              </w:rPr>
              <w:t></w:t>
            </w: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/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руб/кВт</w:t>
            </w:r>
            <w:r>
              <w:rPr>
                <w:rFonts w:eastAsia="Symbol" w:cs="Symbol" w:ascii="Symbol" w:hAnsi="Symbol"/>
                <w:b/>
                <w:sz w:val="20"/>
                <w:szCs w:val="20"/>
              </w:rPr>
              <w:t></w:t>
            </w: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/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руб/МВт</w:t>
            </w:r>
            <w:r>
              <w:rPr>
                <w:rFonts w:eastAsia="Symbol" w:cs="Symbol" w:ascii="Symbol" w:hAnsi="Symbol"/>
                <w:b/>
                <w:sz w:val="20"/>
                <w:szCs w:val="20"/>
              </w:rPr>
              <w:t></w:t>
            </w: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мес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/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руб/МВт</w:t>
            </w:r>
            <w:r>
              <w:rPr>
                <w:rFonts w:eastAsia="Symbol" w:cs="Symbol" w:ascii="Symbol" w:hAnsi="Symbol"/>
                <w:b/>
                <w:sz w:val="20"/>
                <w:szCs w:val="20"/>
              </w:rPr>
              <w:t></w:t>
            </w: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/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руб/кВт</w:t>
            </w:r>
            <w:r>
              <w:rPr>
                <w:rFonts w:eastAsia="Symbol" w:cs="Symbol" w:ascii="Symbol" w:hAnsi="Symbol"/>
                <w:b/>
                <w:sz w:val="20"/>
                <w:szCs w:val="20"/>
              </w:rPr>
              <w:t></w:t>
            </w: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ч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20"/>
                <w:szCs w:val="20"/>
              </w:rPr>
            </w:pPr>
            <w:r>
              <w:rPr>
                <w:rFonts w:eastAsia="Symbol"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before="0" w:after="0"/>
              <w:jc w:val="both"/>
              <w:rPr>
                <w:rFonts w:ascii="Times New Roman" w:hAnsi="Times New Roman" w:eastAsia="Symbol" w:cs="Times New Roman"/>
                <w:b/>
                <w:b/>
                <w:sz w:val="16"/>
                <w:szCs w:val="16"/>
              </w:rPr>
            </w:pPr>
            <w:r>
              <w:rPr>
                <w:rFonts w:eastAsia="Symbol" w:cs="Times New Roman" w:ascii="Times New Roman" w:hAnsi="Times New Roman"/>
                <w:b/>
                <w:sz w:val="16"/>
                <w:szCs w:val="16"/>
              </w:rPr>
              <w:t>ПАО«МРСК Центра и Поволжья»(филиал «Ивэнерго») - ООО «ТСП»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  <w:t>291367,51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  <w:t>402,99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  <w:t>1,23078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  <w:t>291367,51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  <w:t>402,99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before="0" w:after="0"/>
              <w:jc w:val="center"/>
              <w:rPr>
                <w:rFonts w:ascii="Times New Roman" w:hAnsi="Times New Roman" w:eastAsia="Symbol" w:cs="Times New Roman"/>
                <w:b/>
                <w:b/>
                <w:sz w:val="18"/>
                <w:szCs w:val="18"/>
              </w:rPr>
            </w:pPr>
            <w:r>
              <w:rPr>
                <w:rFonts w:eastAsia="Symbol" w:cs="Times New Roman" w:ascii="Times New Roman" w:hAnsi="Times New Roman"/>
                <w:b/>
                <w:sz w:val="18"/>
                <w:szCs w:val="18"/>
              </w:rPr>
              <w:t>1,23078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Symbol" w:cs="Times New Roman"/>
          <w:b/>
          <w:b/>
          <w:sz w:val="28"/>
          <w:szCs w:val="28"/>
        </w:rPr>
      </w:pPr>
      <w:r>
        <w:rPr>
          <w:rFonts w:eastAsia="Symbol" w:cs="Times New Roman" w:ascii="Times New Roman" w:hAnsi="Times New Roman"/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226</Words>
  <Characters>1464</Characters>
  <CharactersWithSpaces>1644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2017-08-03T10:28:35Z</dcterms:created>
  <dc:creator>okulov  </dc:creator>
  <dc:description/>
  <dc:language>ru-RU</dc:language>
  <cp:lastModifiedBy>okulov  </cp:lastModifiedBy>
  <dcterms:modified xsi:type="dcterms:W3CDTF">2017-08-03T10:29:04Z</dcterms:modified>
  <cp:revision>1</cp:revision>
  <dc:subject/>
  <dc:title/>
</cp:coreProperties>
</file>